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80" w:rsidRDefault="009B52B8">
      <w:pPr>
        <w:spacing w:after="197" w:line="259" w:lineRule="auto"/>
        <w:ind w:left="0" w:right="72" w:firstLine="0"/>
        <w:jc w:val="center"/>
      </w:pPr>
      <w:bookmarkStart w:id="0" w:name="_GoBack"/>
      <w:bookmarkEnd w:id="0"/>
      <w:r>
        <w:rPr>
          <w:sz w:val="26"/>
        </w:rPr>
        <w:t>CAPITOLATO Dl GARA</w:t>
      </w:r>
    </w:p>
    <w:p w:rsidR="00E85D80" w:rsidRDefault="009B52B8">
      <w:pPr>
        <w:spacing w:after="42" w:line="259" w:lineRule="auto"/>
        <w:ind w:left="24" w:right="0" w:hanging="10"/>
        <w:jc w:val="left"/>
      </w:pPr>
      <w:r>
        <w:rPr>
          <w:sz w:val="24"/>
          <w:u w:val="single" w:color="000000"/>
        </w:rPr>
        <w:t xml:space="preserve">ARTICOLO 1 </w:t>
      </w:r>
      <w:r w:rsidR="008D1BAE">
        <w:rPr>
          <w:sz w:val="24"/>
          <w:u w:val="single" w:color="000000"/>
        </w:rPr>
        <w:t xml:space="preserve">- </w:t>
      </w:r>
      <w:r>
        <w:rPr>
          <w:sz w:val="24"/>
          <w:u w:val="single" w:color="000000"/>
        </w:rPr>
        <w:t xml:space="preserve"> Oggetto del servizio</w:t>
      </w:r>
    </w:p>
    <w:p w:rsidR="00E85D80" w:rsidRDefault="009B52B8">
      <w:pPr>
        <w:ind w:left="28" w:right="23"/>
      </w:pPr>
      <w:r>
        <w:t>La presente procedura ha ad oggetto l'affidamento del servizio di somministrazione di lavoro a tempo determinato</w:t>
      </w:r>
      <w:r w:rsidR="00611491">
        <w:t xml:space="preserve">, </w:t>
      </w:r>
      <w:r>
        <w:t>ai sensi dell'art. 72 del vigente CCNL comparto</w:t>
      </w:r>
      <w:r w:rsidR="00611491">
        <w:t xml:space="preserve"> Sanità</w:t>
      </w:r>
      <w:r>
        <w:t xml:space="preserve">, </w:t>
      </w:r>
      <w:r w:rsidR="00611491">
        <w:t xml:space="preserve">relativamente </w:t>
      </w:r>
      <w:r>
        <w:t xml:space="preserve">alle figure </w:t>
      </w:r>
      <w:r w:rsidR="008D1BAE">
        <w:t>professionali ascrivibili</w:t>
      </w:r>
      <w:r>
        <w:t xml:space="preserve"> alle seguenti categorie e profili professionali:</w:t>
      </w:r>
    </w:p>
    <w:p w:rsidR="00E85D80" w:rsidRDefault="009B52B8">
      <w:pPr>
        <w:numPr>
          <w:ilvl w:val="0"/>
          <w:numId w:val="1"/>
        </w:numPr>
        <w:spacing w:after="130"/>
        <w:ind w:right="23" w:hanging="355"/>
      </w:pPr>
      <w:r>
        <w:t>Categoria "A"— Ausiliario Socio Sanitario addetto Servizi di Emergenza;</w:t>
      </w:r>
    </w:p>
    <w:p w:rsidR="00E85D80" w:rsidRDefault="009B52B8">
      <w:pPr>
        <w:numPr>
          <w:ilvl w:val="0"/>
          <w:numId w:val="1"/>
        </w:numPr>
        <w:ind w:right="23" w:hanging="355"/>
      </w:pPr>
      <w:r>
        <w:t>Categoria "BS" Operatore tecnico specializzato — Autista Addetto Autoparco;</w:t>
      </w:r>
    </w:p>
    <w:p w:rsidR="00E85D80" w:rsidRDefault="009B52B8">
      <w:pPr>
        <w:numPr>
          <w:ilvl w:val="0"/>
          <w:numId w:val="1"/>
        </w:numPr>
        <w:ind w:right="23" w:hanging="355"/>
      </w:pPr>
      <w:r>
        <w:t>Categoria "BS" — Coadiutore Amministrativo Esperto;</w:t>
      </w:r>
    </w:p>
    <w:p w:rsidR="00E85D80" w:rsidRDefault="009B52B8">
      <w:pPr>
        <w:ind w:left="28" w:right="23"/>
      </w:pPr>
      <w:r>
        <w:t xml:space="preserve">Le risorse saranno impiegate con contratto di somministrazione di lavoro temporaneo, presso le strutture </w:t>
      </w:r>
      <w:r w:rsidR="008D1BAE">
        <w:t>dell’Azienda</w:t>
      </w:r>
      <w:r>
        <w:t xml:space="preserve"> Sanitaria Provinciale di Vibo Valentia alle condizioni di cui al presente capitolato.</w:t>
      </w:r>
    </w:p>
    <w:p w:rsidR="00E85D80" w:rsidRDefault="009B52B8">
      <w:pPr>
        <w:spacing w:after="183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2 Durata — Importo del servizio —Modalità di aggiudicazione.</w:t>
      </w:r>
    </w:p>
    <w:p w:rsidR="00E85D80" w:rsidRDefault="009B52B8">
      <w:pPr>
        <w:spacing w:after="116" w:line="259" w:lineRule="auto"/>
        <w:ind w:left="24" w:right="0" w:hanging="10"/>
      </w:pPr>
      <w:r>
        <w:rPr>
          <w:sz w:val="24"/>
        </w:rPr>
        <w:t>L'affidamento dovrà essere attivato per un numero massimo complessivo di n. 11.</w:t>
      </w:r>
      <w:r w:rsidR="00082E51">
        <w:rPr>
          <w:sz w:val="24"/>
        </w:rPr>
        <w:t>687,77</w:t>
      </w:r>
      <w:r>
        <w:rPr>
          <w:sz w:val="24"/>
        </w:rPr>
        <w:t xml:space="preserve"> ore, di cui n</w:t>
      </w:r>
      <w:r w:rsidR="008D1BAE">
        <w:rPr>
          <w:sz w:val="24"/>
        </w:rPr>
        <w:t xml:space="preserve">. </w:t>
      </w:r>
      <w:r w:rsidR="00082E51">
        <w:rPr>
          <w:sz w:val="24"/>
        </w:rPr>
        <w:t>6.483,61</w:t>
      </w:r>
      <w:r>
        <w:rPr>
          <w:sz w:val="24"/>
        </w:rPr>
        <w:t xml:space="preserve"> per il profilo A - Addetti ai Servizi di Emergenza, n. 1.</w:t>
      </w:r>
      <w:r w:rsidR="00082E51">
        <w:rPr>
          <w:sz w:val="24"/>
        </w:rPr>
        <w:t xml:space="preserve">460,16 </w:t>
      </w:r>
      <w:r>
        <w:rPr>
          <w:sz w:val="24"/>
        </w:rPr>
        <w:t>ore per i</w:t>
      </w:r>
      <w:r w:rsidR="008D1BAE">
        <w:rPr>
          <w:sz w:val="24"/>
        </w:rPr>
        <w:t xml:space="preserve">l </w:t>
      </w:r>
      <w:r>
        <w:rPr>
          <w:sz w:val="24"/>
        </w:rPr>
        <w:t>profilo di BS - Operatore tecnico specializzato-Autista, ed ore 3.</w:t>
      </w:r>
      <w:r w:rsidR="00082E51">
        <w:rPr>
          <w:sz w:val="24"/>
        </w:rPr>
        <w:t>744,00</w:t>
      </w:r>
      <w:r>
        <w:rPr>
          <w:sz w:val="24"/>
        </w:rPr>
        <w:t xml:space="preserve"> per il profilo di BS - </w:t>
      </w:r>
      <w:r w:rsidR="008D1BAE">
        <w:rPr>
          <w:sz w:val="24"/>
        </w:rPr>
        <w:t>Coadiutore</w:t>
      </w:r>
      <w:r>
        <w:rPr>
          <w:sz w:val="24"/>
        </w:rPr>
        <w:t xml:space="preserve"> amministrativo esperto;</w:t>
      </w:r>
    </w:p>
    <w:p w:rsidR="00E85D80" w:rsidRDefault="009B52B8">
      <w:pPr>
        <w:ind w:left="28" w:right="23"/>
      </w:pPr>
      <w:r>
        <w:t>Il contratto avrà l</w:t>
      </w:r>
      <w:r w:rsidR="008D1BAE">
        <w:t xml:space="preserve">a </w:t>
      </w:r>
      <w:r>
        <w:t xml:space="preserve">durata di mesi </w:t>
      </w:r>
      <w:r w:rsidR="00082E51">
        <w:t>quattro</w:t>
      </w:r>
      <w:r>
        <w:t xml:space="preserve"> per una spesa presunta da quantificare </w:t>
      </w:r>
      <w:r w:rsidRPr="00585F57">
        <w:rPr>
          <w:color w:val="auto"/>
        </w:rPr>
        <w:t xml:space="preserve">entro i </w:t>
      </w:r>
      <w:r w:rsidR="00585F57" w:rsidRPr="00585F57">
        <w:rPr>
          <w:color w:val="auto"/>
        </w:rPr>
        <w:t xml:space="preserve">limiti </w:t>
      </w:r>
      <w:r w:rsidRPr="00585F57">
        <w:rPr>
          <w:color w:val="auto"/>
        </w:rPr>
        <w:t xml:space="preserve">del CCNL </w:t>
      </w:r>
      <w:r w:rsidR="00082E51">
        <w:t>Sanità comparto</w:t>
      </w:r>
      <w:r>
        <w:t xml:space="preserve"> vigente.</w:t>
      </w:r>
    </w:p>
    <w:p w:rsidR="00E85D80" w:rsidRDefault="009B52B8">
      <w:pPr>
        <w:ind w:left="28" w:right="2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3170824</wp:posOffset>
            </wp:positionV>
            <wp:extent cx="6096" cy="6098"/>
            <wp:effectExtent l="0" t="0" r="0" b="0"/>
            <wp:wrapSquare wrapText="bothSides"/>
            <wp:docPr id="2596" name="Picture 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591312</wp:posOffset>
            </wp:positionH>
            <wp:positionV relativeFrom="page">
              <wp:posOffset>3231802</wp:posOffset>
            </wp:positionV>
            <wp:extent cx="6096" cy="6097"/>
            <wp:effectExtent l="0" t="0" r="0" b="0"/>
            <wp:wrapSquare wrapText="bothSides"/>
            <wp:docPr id="2597" name="Picture 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 Stazione appaltante si riserva il diritto, qualora occorresse in corso di esecuzione, di aumentare o diminuire la fornitura. La stazione appaltante potrà richiedere maggiori o minori prestazioni contrattuali fino alla concorrenza di un quinto del valore appalto, alle stesse condizioni del contratto, conformemente a quanto previsto dal </w:t>
      </w:r>
      <w:r w:rsidR="008D1BAE">
        <w:t xml:space="preserve">D. Lgs. </w:t>
      </w:r>
      <w:r w:rsidR="00BE6B41">
        <w:t>36/2023</w:t>
      </w:r>
      <w:r w:rsidR="008D1BAE">
        <w:t xml:space="preserve"> </w:t>
      </w:r>
      <w:r>
        <w:t>e smi.</w:t>
      </w:r>
    </w:p>
    <w:p w:rsidR="00E85D80" w:rsidRDefault="009B52B8">
      <w:pPr>
        <w:ind w:left="28" w:right="23"/>
      </w:pPr>
      <w:r>
        <w:t xml:space="preserve">L'importo dell'affidamento è stimato in Euro </w:t>
      </w:r>
      <w:r w:rsidR="00BE6B41">
        <w:t>214.841,09</w:t>
      </w:r>
      <w:r w:rsidR="008D1BAE">
        <w:t xml:space="preserve">, </w:t>
      </w:r>
      <w:r>
        <w:t>esclusa IVA se in quanto dovuta</w:t>
      </w:r>
      <w:r w:rsidR="008D1BAE">
        <w:t xml:space="preserve">, </w:t>
      </w:r>
      <w:r>
        <w:t>ed IRAP.</w:t>
      </w:r>
    </w:p>
    <w:p w:rsidR="00E85D80" w:rsidRDefault="009B52B8">
      <w:pPr>
        <w:spacing w:after="86"/>
        <w:ind w:left="28" w:right="23"/>
      </w:pPr>
      <w:r>
        <w:t xml:space="preserve">L'aggiudicazione sarà effettuata, ai sensi dell'art. </w:t>
      </w:r>
      <w:r w:rsidR="00D9460E">
        <w:t>108</w:t>
      </w:r>
      <w:r w:rsidR="008D1BAE">
        <w:t xml:space="preserve">, </w:t>
      </w:r>
      <w:r>
        <w:t xml:space="preserve">comma </w:t>
      </w:r>
      <w:r w:rsidR="00D9460E">
        <w:t>3</w:t>
      </w:r>
      <w:r w:rsidR="008D1BAE">
        <w:t xml:space="preserve">, </w:t>
      </w:r>
      <w:r>
        <w:t xml:space="preserve">del D. Lgs. </w:t>
      </w:r>
      <w:r w:rsidR="00D9460E">
        <w:t>36/2023</w:t>
      </w:r>
      <w:r>
        <w:t xml:space="preserve"> e s.m.i., sulla base del criterio del prezzo più basso da applicarsi sul solo utile di agenzia previsto nella scheda di quantificazione del costo dell'appalto;</w:t>
      </w:r>
    </w:p>
    <w:p w:rsidR="00E85D80" w:rsidRDefault="009B52B8">
      <w:pPr>
        <w:ind w:left="28" w:right="23"/>
      </w:pPr>
      <w:r>
        <w:t>L' A.S.P. di Vibo Valentia si riserva la facoltà di non procedere ad alcuna aggiudicazione nonché di sospendere e/o revocare la procedura di gara in qualsiasi fase essa si trovi, qualora dovessero mutare le esigenze aziendali o dovessero intervenire specifiche disposizioni regionali in materia di approvvigionamenti e/o dovessero intervenire direttive o nulla osta negativi da parte di Organi superiori in merito alla fornitura di cui trattasi.</w:t>
      </w:r>
    </w:p>
    <w:p w:rsidR="00E85D80" w:rsidRDefault="009B52B8">
      <w:pPr>
        <w:spacing w:after="89"/>
        <w:ind w:left="28" w:right="23"/>
      </w:pPr>
      <w:r>
        <w:t>L'ASP si riserva altresì di richiedere alla ditta aggiudicataria eventuale ulteriore documentazione prevista dalle vigenti disposizioni di Legge.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3 — Normativa di riferimento.</w:t>
      </w:r>
    </w:p>
    <w:p w:rsidR="00E85D80" w:rsidRDefault="009B52B8">
      <w:pPr>
        <w:numPr>
          <w:ilvl w:val="0"/>
          <w:numId w:val="2"/>
        </w:numPr>
        <w:spacing w:after="0"/>
        <w:ind w:right="23" w:hanging="355"/>
      </w:pPr>
      <w:r>
        <w:t>Allegato 36 al Capitolato d'oneri "Servizi di ricerca, selezione somministrazione del personale" punto</w:t>
      </w:r>
    </w:p>
    <w:p w:rsidR="00E85D80" w:rsidRDefault="009B52B8">
      <w:pPr>
        <w:spacing w:after="133"/>
        <w:ind w:left="783" w:right="23"/>
      </w:pPr>
      <w:r>
        <w:t>6.1 — Classificazione Consip Pubblica Versione 1.0 Gennaio 2022.</w:t>
      </w:r>
    </w:p>
    <w:p w:rsidR="00E85D80" w:rsidRDefault="009B52B8">
      <w:pPr>
        <w:numPr>
          <w:ilvl w:val="0"/>
          <w:numId w:val="2"/>
        </w:numPr>
        <w:ind w:right="23" w:hanging="355"/>
      </w:pPr>
      <w:r>
        <w:t>CCNL Sanità comparto vigente.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4 — Modalità di espletamento del servizio.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2600" name="Picture 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D80" w:rsidRDefault="009B52B8">
      <w:pPr>
        <w:spacing w:after="132"/>
        <w:ind w:left="28" w:right="23"/>
      </w:pPr>
      <w:r>
        <w:t>Il presente servizio di somministrazione dovrà essere svolto con la massima cura e disciplina in conformità di quanto previsto dal presente capitolato e nel rispetto delle seguenti modalità:</w:t>
      </w:r>
    </w:p>
    <w:p w:rsidR="00E85D80" w:rsidRDefault="009B52B8">
      <w:pPr>
        <w:numPr>
          <w:ilvl w:val="0"/>
          <w:numId w:val="2"/>
        </w:numPr>
        <w:ind w:right="23" w:hanging="355"/>
      </w:pPr>
      <w:r>
        <w:lastRenderedPageBreak/>
        <w:t>I prestatori di lavoro temporaneo saranno adibiti alle mansioni previste dal vigente CCN sanità comparto;</w:t>
      </w:r>
    </w:p>
    <w:p w:rsidR="00E85D80" w:rsidRDefault="009B52B8">
      <w:pPr>
        <w:numPr>
          <w:ilvl w:val="0"/>
          <w:numId w:val="2"/>
        </w:numPr>
        <w:ind w:right="23" w:hanging="355"/>
      </w:pPr>
      <w:r>
        <w:t>Il trattamento economico sarà corrispondente a quello previsto dallo stesso CCNL sanità comparto per la categoria di riferimento.</w:t>
      </w:r>
    </w:p>
    <w:p w:rsidR="00E85D80" w:rsidRDefault="009B52B8">
      <w:pPr>
        <w:numPr>
          <w:ilvl w:val="0"/>
          <w:numId w:val="2"/>
        </w:numPr>
        <w:ind w:right="23" w:hanging="355"/>
      </w:pPr>
      <w:r>
        <w:t>La contrattazione previdenziale è quella prevista per i dipendenti delle aziende di fornitura di lavoro temporaneo.</w:t>
      </w:r>
    </w:p>
    <w:p w:rsidR="00E85D80" w:rsidRDefault="009B52B8">
      <w:pPr>
        <w:numPr>
          <w:ilvl w:val="0"/>
          <w:numId w:val="2"/>
        </w:numPr>
        <w:spacing w:after="131"/>
        <w:ind w:right="23" w:hanging="355"/>
      </w:pPr>
      <w:r>
        <w:t>La contribuzione assistenziale è quella riferita alla posizione INAIL relativa alle figure sopra descritte.</w:t>
      </w:r>
    </w:p>
    <w:p w:rsidR="00E85D80" w:rsidRDefault="009B52B8">
      <w:pPr>
        <w:numPr>
          <w:ilvl w:val="0"/>
          <w:numId w:val="2"/>
        </w:numPr>
        <w:ind w:right="23" w:hanging="355"/>
      </w:pPr>
      <w:r>
        <w:t>Il luogo di lavoro sarà indicato dall'utilizzatore secondo i propri bisogni organizzativi, salvo eventuali diverse esigenze.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5 — Prezzo del servizio e modalità dei pagamenti.</w:t>
      </w:r>
    </w:p>
    <w:p w:rsidR="00E85D80" w:rsidRDefault="009B52B8">
      <w:pPr>
        <w:ind w:left="28" w:right="23"/>
      </w:pPr>
      <w:r>
        <w:t>Il prezzo offerto in sede di gara per la realizzazione del servizio si intende fisso ed invariabile per tutta la durata del servizio. Per quanto riguarda il costo del lavoro ne è ammessa la revisione in riferimento a variazioni conseguenti all'applicazione del CCNL SAN</w:t>
      </w:r>
      <w:r w:rsidR="008D1BAE">
        <w:t>I</w:t>
      </w:r>
      <w:r>
        <w:t xml:space="preserve">TA' in conseguenza dell'applicazione di accordi integrativi </w:t>
      </w:r>
      <w:r w:rsidR="00D9460E">
        <w:t>territoriali</w:t>
      </w:r>
      <w:r>
        <w:t xml:space="preserve"> ed aziendali che dovessero essere comunicati dall'Ente, nonché in funzione di eventuali modifiche normative introdotte in via generale dal legislatore.</w:t>
      </w:r>
    </w:p>
    <w:p w:rsidR="00E85D80" w:rsidRDefault="009B52B8">
      <w:pPr>
        <w:ind w:left="28" w:right="23"/>
      </w:pPr>
      <w:r>
        <w:t xml:space="preserve">Eventuali ore straordinarie o altre indennità ad evento, </w:t>
      </w:r>
      <w:r>
        <w:rPr>
          <w:u w:val="single" w:color="000000"/>
        </w:rPr>
        <w:t>se autorizzate</w:t>
      </w:r>
      <w:r>
        <w:t xml:space="preserve"> verranno dal Fornitore rifatturate all'Amministrazione con applicazione delle maggiorazioni contrattuali dovute e con il margine di agenzia offerto. </w:t>
      </w:r>
      <w:r w:rsidRPr="00585F57">
        <w:rPr>
          <w:color w:val="auto"/>
        </w:rPr>
        <w:t>Resta fermo</w:t>
      </w:r>
      <w:r w:rsidR="00585F57" w:rsidRPr="00585F57">
        <w:rPr>
          <w:color w:val="auto"/>
        </w:rPr>
        <w:t xml:space="preserve">, </w:t>
      </w:r>
      <w:r w:rsidRPr="00585F57">
        <w:rPr>
          <w:color w:val="auto"/>
        </w:rPr>
        <w:t>comunque</w:t>
      </w:r>
      <w:r w:rsidR="00585F57" w:rsidRPr="00585F57">
        <w:rPr>
          <w:color w:val="auto"/>
        </w:rPr>
        <w:t xml:space="preserve">, </w:t>
      </w:r>
      <w:r w:rsidRPr="00585F57">
        <w:rPr>
          <w:color w:val="auto"/>
        </w:rPr>
        <w:t>quanto disciplin</w:t>
      </w:r>
      <w:r>
        <w:t xml:space="preserve">ato dall'art. </w:t>
      </w:r>
      <w:r>
        <w:rPr>
          <w:u w:val="single" w:color="000000"/>
        </w:rPr>
        <w:t xml:space="preserve">72 </w:t>
      </w:r>
      <w:proofErr w:type="spellStart"/>
      <w:r>
        <w:rPr>
          <w:u w:val="single" w:color="000000"/>
        </w:rPr>
        <w:t>ca</w:t>
      </w:r>
      <w:proofErr w:type="spellEnd"/>
      <w:r>
        <w:rPr>
          <w:u w:val="single" w:color="000000"/>
        </w:rPr>
        <w:t>. 4 del vigente CCNL Sanità Comparto</w:t>
      </w:r>
      <w:r>
        <w:t>, nonché il limite economico massimo fissato dall'appalto.</w:t>
      </w:r>
    </w:p>
    <w:p w:rsidR="00E85D80" w:rsidRDefault="009B52B8">
      <w:pPr>
        <w:ind w:left="28" w:right="23"/>
      </w:pPr>
      <w:r>
        <w:t xml:space="preserve">Al fine del computo delle ore di lavoro effettivamente svolte dai prestatori di lavoro temporaneo verrà sottoscritta mensilmente dal responsabile del servizio e dai prestatori stessi, </w:t>
      </w:r>
      <w:r w:rsidR="00AD3225">
        <w:t>un’apposita</w:t>
      </w:r>
      <w:r>
        <w:t xml:space="preserve"> scheda indicante le ore lavorate che sarà trasmessa, a cura del lavoratore, alla società fornitrice entro il 4</w:t>
      </w:r>
      <w:r>
        <w:rPr>
          <w:vertAlign w:val="superscript"/>
        </w:rPr>
        <w:t xml:space="preserve">0 </w:t>
      </w:r>
      <w:r>
        <w:t>giorno lavorativo del mese successivo.</w:t>
      </w:r>
    </w:p>
    <w:p w:rsidR="00E85D80" w:rsidRDefault="009B52B8">
      <w:pPr>
        <w:ind w:left="28" w:right="23"/>
      </w:pPr>
      <w:r>
        <w:t>I pagamenti saranno effettuati entro i termini di legge decorrenti dal ricevimento delle relative fatture mensili, da emettersi ai sensi della vigente normativa (CODICE UNIVOCO UFFICIO: UFZONQ).</w:t>
      </w:r>
    </w:p>
    <w:p w:rsidR="00E85D80" w:rsidRDefault="009B52B8">
      <w:pPr>
        <w:ind w:left="28" w:right="2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1908592</wp:posOffset>
            </wp:positionV>
            <wp:extent cx="6096" cy="12195"/>
            <wp:effectExtent l="0" t="0" r="0" b="0"/>
            <wp:wrapSquare wrapText="bothSides"/>
            <wp:docPr id="5979" name="Picture 5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" name="Picture 59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591312</wp:posOffset>
            </wp:positionH>
            <wp:positionV relativeFrom="page">
              <wp:posOffset>1926886</wp:posOffset>
            </wp:positionV>
            <wp:extent cx="6096" cy="6098"/>
            <wp:effectExtent l="0" t="0" r="0" b="0"/>
            <wp:wrapSquare wrapText="bothSides"/>
            <wp:docPr id="5980" name="Picture 5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" name="Picture 59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liquidazione della fattura potrà essere sospesa nel caso di contestazioni o reclami da parte dell'A.S.P. In tal caso si interrompe la decorrenza del termine di legge e la liquidazione sarà disposta successivamente alla intervenuta positiva definizione della contestazione.</w:t>
      </w:r>
    </w:p>
    <w:p w:rsidR="00E85D80" w:rsidRDefault="009B52B8">
      <w:pPr>
        <w:ind w:left="28" w:right="23"/>
      </w:pPr>
      <w:r>
        <w:t xml:space="preserve">In caso di inadempienze da parte del fornitore </w:t>
      </w:r>
      <w:r w:rsidR="00585F57">
        <w:t>l’ASP</w:t>
      </w:r>
      <w:r>
        <w:t xml:space="preserve"> valuterà, per singolo caso, le penali da applicare ai sensi dell'art. </w:t>
      </w:r>
      <w:r w:rsidR="00D9460E" w:rsidRPr="00D9460E">
        <w:t>126</w:t>
      </w:r>
      <w:r>
        <w:t xml:space="preserve"> </w:t>
      </w:r>
      <w:r w:rsidR="00585F57">
        <w:t>D. Lgs</w:t>
      </w:r>
      <w:r>
        <w:t xml:space="preserve"> </w:t>
      </w:r>
      <w:r w:rsidR="00D9460E">
        <w:t>36/2023</w:t>
      </w:r>
      <w:r>
        <w:t>. In caso di gravi inadempienze si procederà con esecuzione in danno.</w:t>
      </w:r>
    </w:p>
    <w:p w:rsidR="00E85D80" w:rsidRDefault="009B52B8">
      <w:pPr>
        <w:spacing w:after="136" w:line="259" w:lineRule="auto"/>
        <w:ind w:left="24" w:right="0" w:hanging="10"/>
        <w:jc w:val="left"/>
      </w:pPr>
      <w:r>
        <w:rPr>
          <w:sz w:val="24"/>
          <w:u w:val="single" w:color="000000"/>
        </w:rPr>
        <w:t xml:space="preserve">ARTICOLO 6 — Obblighi del </w:t>
      </w:r>
      <w:r w:rsidR="00585F57">
        <w:rPr>
          <w:sz w:val="24"/>
          <w:u w:val="single" w:color="000000"/>
        </w:rPr>
        <w:t>somministratore</w:t>
      </w:r>
      <w:r>
        <w:rPr>
          <w:noProof/>
        </w:rPr>
        <w:drawing>
          <wp:inline distT="0" distB="0" distL="0" distR="0">
            <wp:extent cx="6096" cy="24392"/>
            <wp:effectExtent l="0" t="0" r="0" b="0"/>
            <wp:docPr id="53133" name="Picture 53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3" name="Picture 531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D80" w:rsidRDefault="009B52B8">
      <w:pPr>
        <w:ind w:left="28" w:right="23"/>
      </w:pPr>
      <w:r>
        <w:t xml:space="preserve">La Società </w:t>
      </w:r>
      <w:proofErr w:type="spellStart"/>
      <w:r>
        <w:t>fomitrice</w:t>
      </w:r>
      <w:proofErr w:type="spellEnd"/>
      <w:r>
        <w:t xml:space="preserve"> si impegna ad applicare integralmente tutte le norme contenute nel contratto nazionale di lavoro e negli accordi integrativi, territoriali ed aziendali, per il settore di attività e per la località dove viene eseguito il contratto, purché debitamente portati a conoscenza dell'Aggiudicatario.</w:t>
      </w:r>
    </w:p>
    <w:p w:rsidR="00E85D80" w:rsidRDefault="009B52B8">
      <w:pPr>
        <w:ind w:left="115" w:right="23"/>
      </w:pPr>
      <w:r>
        <w:t>Il Fornitore si impegna inoltre a:</w:t>
      </w:r>
    </w:p>
    <w:p w:rsidR="00E85D80" w:rsidRDefault="009B52B8">
      <w:pPr>
        <w:numPr>
          <w:ilvl w:val="0"/>
          <w:numId w:val="3"/>
        </w:numPr>
        <w:ind w:right="23" w:hanging="346"/>
      </w:pPr>
      <w:r>
        <w:t>indicare il nominativo del Referente- Responsabile incaricato della gestione del servizio;</w:t>
      </w:r>
    </w:p>
    <w:p w:rsidR="00E85D80" w:rsidRDefault="009B52B8">
      <w:pPr>
        <w:numPr>
          <w:ilvl w:val="0"/>
          <w:numId w:val="3"/>
        </w:numPr>
        <w:ind w:right="23" w:hanging="346"/>
      </w:pPr>
      <w:r>
        <w:t xml:space="preserve">dar seguito solamente a richieste scritte di fornitura di somministrazione che l'Ente invierà al </w:t>
      </w:r>
      <w:r w:rsidR="00585F57">
        <w:t>Referente-Responsabile</w:t>
      </w:r>
      <w:r>
        <w:t xml:space="preserve"> nominato:</w:t>
      </w:r>
    </w:p>
    <w:p w:rsidR="00E85D80" w:rsidRDefault="009B52B8">
      <w:pPr>
        <w:numPr>
          <w:ilvl w:val="0"/>
          <w:numId w:val="3"/>
        </w:numPr>
        <w:ind w:right="23" w:hanging="346"/>
      </w:pPr>
      <w:r>
        <w:lastRenderedPageBreak/>
        <w:t xml:space="preserve">assunzione dell'obbligo del pagamento diretto ai lavoratori somministrati del medesimo trattamento economico previsto per i dipendenti diretti dell'Amministrazione, al versamento dei contributi previdenziali, nonché all'iscrizione degli stessi lavoratori presso I'INAIL contro gli infortuni sul lavoro e le malattie professionali; </w:t>
      </w:r>
      <w:r>
        <w:rPr>
          <w:noProof/>
        </w:rPr>
        <w:drawing>
          <wp:inline distT="0" distB="0" distL="0" distR="0">
            <wp:extent cx="39624" cy="12195"/>
            <wp:effectExtent l="0" t="0" r="0" b="0"/>
            <wp:docPr id="5986" name="Picture 5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" name="Picture 59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avvio dei lavoratori somministrati entro i termini previsti nell'offerta;</w:t>
      </w:r>
    </w:p>
    <w:p w:rsidR="00E85D80" w:rsidRDefault="009B52B8">
      <w:pPr>
        <w:numPr>
          <w:ilvl w:val="0"/>
          <w:numId w:val="3"/>
        </w:numPr>
        <w:ind w:right="23" w:hanging="346"/>
      </w:pPr>
      <w:r>
        <w:t xml:space="preserve">mettere a disposizione dell'Ente, in ogni momento, le copie delle buste paga dei lavoratori somministrati attestanti la regolarità dell'inquadramento e della retribuzione, nonché copia della documentazione previdenziale; </w:t>
      </w:r>
      <w:r>
        <w:rPr>
          <w:noProof/>
        </w:rPr>
        <w:drawing>
          <wp:inline distT="0" distB="0" distL="0" distR="0">
            <wp:extent cx="36576" cy="9148"/>
            <wp:effectExtent l="0" t="0" r="0" b="0"/>
            <wp:docPr id="5988" name="Picture 5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" name="Picture 59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stipulare separati contratti di fornitura per ogni singolo lavoratore;</w:t>
      </w:r>
    </w:p>
    <w:p w:rsidR="00E85D80" w:rsidRDefault="009B52B8">
      <w:pPr>
        <w:ind w:left="724" w:right="23" w:hanging="350"/>
      </w:pPr>
      <w:r>
        <w:rPr>
          <w:noProof/>
        </w:rPr>
        <w:drawing>
          <wp:inline distT="0" distB="0" distL="0" distR="0">
            <wp:extent cx="36576" cy="9147"/>
            <wp:effectExtent l="0" t="0" r="0" b="0"/>
            <wp:docPr id="9437" name="Picture 9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" name="Picture 94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85F57">
        <w:t xml:space="preserve">    </w:t>
      </w:r>
      <w:r>
        <w:t>esercitare l'azione disciplinare nei confronti del personale somministrato in applicazione di quanto previsto dal D. Lgs. 276/2003</w:t>
      </w:r>
    </w:p>
    <w:p w:rsidR="00E85D80" w:rsidRDefault="009B52B8">
      <w:pPr>
        <w:ind w:left="28" w:right="23"/>
      </w:pPr>
      <w:r>
        <w:t>Per tutti gli eventuali ulteriori adempimenti si rinvia agli obblighi previsti in via generale per le Agenzie di Lavoro Temporaneo dal D. Lgs. 276/2003 e dal CCNL per le Agenzie di Somministrazione del 24.07.2008.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 xml:space="preserve">ARTICOLO 7 - </w:t>
      </w:r>
      <w:r w:rsidR="00DF7CD0">
        <w:rPr>
          <w:sz w:val="24"/>
          <w:u w:val="single" w:color="000000"/>
        </w:rPr>
        <w:t>Obblighi</w:t>
      </w:r>
      <w:r>
        <w:rPr>
          <w:sz w:val="24"/>
          <w:u w:val="single" w:color="000000"/>
        </w:rPr>
        <w:t xml:space="preserve"> dell'amministrazione utilizzatrice.</w:t>
      </w:r>
    </w:p>
    <w:p w:rsidR="00E85D80" w:rsidRDefault="009B52B8">
      <w:pPr>
        <w:ind w:left="28" w:right="23"/>
      </w:pPr>
      <w:r>
        <w:t>L'ASP di Vibo Valentia si obbliga a:</w:t>
      </w:r>
    </w:p>
    <w:p w:rsidR="00E85D80" w:rsidRDefault="009B52B8">
      <w:pPr>
        <w:spacing w:after="87"/>
        <w:ind w:left="384" w:right="91"/>
      </w:pPr>
      <w:r>
        <w:rPr>
          <w:noProof/>
        </w:rPr>
        <w:drawing>
          <wp:inline distT="0" distB="0" distL="0" distR="0">
            <wp:extent cx="36576" cy="9146"/>
            <wp:effectExtent l="0" t="0" r="0" b="0"/>
            <wp:docPr id="9439" name="Picture 9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" name="Picture 94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85F57">
        <w:t xml:space="preserve"> </w:t>
      </w:r>
      <w:r>
        <w:t>in considerazione della responsabilità solidale ex art. 29</w:t>
      </w:r>
      <w:r w:rsidR="00585F57">
        <w:t>,</w:t>
      </w:r>
      <w:r>
        <w:t xml:space="preserve"> comma 3</w:t>
      </w:r>
      <w:r w:rsidR="00585F57">
        <w:t xml:space="preserve">, </w:t>
      </w:r>
      <w:r>
        <w:t xml:space="preserve">del D. Lgs. 27 6/2003, nel caso di inadempimento del Fornitore, a versare direttamente al lavoratore somministrato e all'Ente previdenziale, rispettivamente le retribuzioni e i contributi dovuti, fatto salvo il diritto di rivalsa nei confronti del Fornitore; </w:t>
      </w:r>
      <w:r>
        <w:rPr>
          <w:noProof/>
        </w:rPr>
        <w:drawing>
          <wp:inline distT="0" distB="0" distL="0" distR="0">
            <wp:extent cx="36576" cy="12196"/>
            <wp:effectExtent l="0" t="0" r="0" b="0"/>
            <wp:docPr id="9440" name="Picture 9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" name="Picture 94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fornire</w:t>
      </w:r>
      <w:r w:rsidR="00585F57">
        <w:t xml:space="preserve">, </w:t>
      </w:r>
      <w:r>
        <w:t>ove necessario</w:t>
      </w:r>
      <w:r w:rsidR="00585F57">
        <w:t xml:space="preserve">, </w:t>
      </w:r>
      <w:r>
        <w:t>la divisa e i dispositivi di protezione individuali;</w:t>
      </w:r>
    </w:p>
    <w:p w:rsidR="00E85D80" w:rsidRDefault="009B52B8">
      <w:pPr>
        <w:ind w:left="739" w:right="23" w:hanging="355"/>
      </w:pPr>
      <w:r>
        <w:rPr>
          <w:noProof/>
        </w:rPr>
        <w:drawing>
          <wp:inline distT="0" distB="0" distL="0" distR="0">
            <wp:extent cx="36576" cy="12196"/>
            <wp:effectExtent l="0" t="0" r="0" b="0"/>
            <wp:docPr id="9441" name="Picture 9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" name="Picture 944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corrispondere al Fornitore il costo delle ore effettivamente lavorate, o</w:t>
      </w:r>
      <w:r w:rsidR="00585F57">
        <w:t xml:space="preserve">ltre al margine di agenzia come </w:t>
      </w:r>
      <w:r>
        <w:t>risultante dall'offerta economica presentata.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8 - Clausola Sociale</w:t>
      </w:r>
    </w:p>
    <w:p w:rsidR="00E85D80" w:rsidRDefault="009B52B8">
      <w:pPr>
        <w:ind w:left="28" w:right="23"/>
      </w:pPr>
      <w:r>
        <w:t>Nel rispetto dell'art.</w:t>
      </w:r>
      <w:r w:rsidR="00585F57">
        <w:t xml:space="preserve"> </w:t>
      </w:r>
      <w:r>
        <w:t xml:space="preserve">31 CCNL Agenzie per il lavoro (27 febbraio 2014), alla presente procedura si applica la clausola sociale per cui in caso di cessazione di appalti pubblici nei quali l'ente appaltante proceda a una nuova aggiudicazione ad Agenzia anche diversa dalla precedente, </w:t>
      </w:r>
      <w:r w:rsidR="00046044">
        <w:t>l’Agenzia</w:t>
      </w:r>
      <w:r>
        <w:t xml:space="preserve"> aggiudicataria è tenuta a garantire il mantenimento in organico di tutti i lavoratori già utilizzati in precedenza, compatibilmente con i numeri richiesti dal bando e per tutta la durata dello stesso.</w:t>
      </w:r>
    </w:p>
    <w:p w:rsidR="00E85D80" w:rsidRDefault="009B52B8">
      <w:pPr>
        <w:spacing w:after="0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9 - Tracciabilità</w:t>
      </w:r>
    </w:p>
    <w:p w:rsidR="00E85D80" w:rsidRDefault="009B52B8">
      <w:pPr>
        <w:ind w:left="28" w:right="23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1609803</wp:posOffset>
            </wp:positionV>
            <wp:extent cx="6096" cy="6098"/>
            <wp:effectExtent l="0" t="0" r="0" b="0"/>
            <wp:wrapSquare wrapText="bothSides"/>
            <wp:docPr id="9438" name="Picture 9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" name="Picture 94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L'affidatario è obbligato ad assumere, a pena di nullità del rapporto, gli obblighi di tracciabilità dei flussi finanziari previsti dalla legge n. 136/2010.</w:t>
      </w:r>
    </w:p>
    <w:p w:rsidR="00E85D80" w:rsidRDefault="009B52B8">
      <w:pPr>
        <w:spacing w:after="116" w:line="259" w:lineRule="auto"/>
        <w:ind w:left="24" w:right="0" w:hanging="10"/>
      </w:pPr>
      <w:r>
        <w:rPr>
          <w:sz w:val="24"/>
        </w:rPr>
        <w:t>ARTICOLO 10 — Norme a tutela della salute e sicurezza.</w:t>
      </w:r>
    </w:p>
    <w:p w:rsidR="00E85D80" w:rsidRDefault="009B52B8">
      <w:pPr>
        <w:ind w:left="28" w:right="23"/>
      </w:pPr>
      <w:r>
        <w:t>L'Ente utilizzatore osserverà nei confronti del prestatore di lavoro tutti gli obblighi di protezione, informazione e formazione connessi all'attività lavorativa, in conformità a quanto previsto dall'art. 23 del D. Lgs. 276/2 003, così come previsto dal D. Lgs. 81/2008 e s.m.i., oltre a fornire ai lavoratori i Dispositivi Individuali di Protezione necessari. L'utilizzatore provvederà inoltre ad informare il prestatore di lavoro somministrato di tutti i rischi connessi all'attività che il prestatore svolgerà presso l'Ente. Nel caso in cui le mansioni richiedano una sorveglianza medica specifica o comportino rischi specifici, l'Ente utilizzatore si impegna ad informarne il lavoratore e a provvedere agli adempimenti di sua competenza.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11 — Risoluzione del contratto</w:t>
      </w:r>
    </w:p>
    <w:p w:rsidR="00E85D80" w:rsidRDefault="009B52B8">
      <w:pPr>
        <w:ind w:left="28" w:right="23"/>
      </w:pPr>
      <w:r>
        <w:t>L'Ente si riserva la facoltà di risolvere il contratto oggetto della presente gara, al verificarsi delle seguenti ipotesi:</w:t>
      </w:r>
    </w:p>
    <w:p w:rsidR="00E85D80" w:rsidRDefault="009B52B8">
      <w:pPr>
        <w:numPr>
          <w:ilvl w:val="0"/>
          <w:numId w:val="4"/>
        </w:numPr>
        <w:ind w:right="23" w:hanging="346"/>
      </w:pPr>
      <w:r>
        <w:lastRenderedPageBreak/>
        <w:t>subappalto, cessione di contratto, cessazione di attività, fallimento, stato di moratoria e conseguenti atti di sequestro o pignoramento a carico del Fornitore;</w:t>
      </w:r>
    </w:p>
    <w:p w:rsidR="00E85D80" w:rsidRDefault="009B52B8">
      <w:pPr>
        <w:numPr>
          <w:ilvl w:val="0"/>
          <w:numId w:val="4"/>
        </w:numPr>
        <w:spacing w:after="49" w:line="353" w:lineRule="auto"/>
        <w:ind w:right="23" w:hanging="346"/>
      </w:pPr>
      <w:r>
        <w:t xml:space="preserve">gravi e reiterate inottemperanze a quanto previsto dal presente capitolato e dalla vigente normativa in materia; </w:t>
      </w:r>
      <w:r>
        <w:rPr>
          <w:noProof/>
        </w:rPr>
        <w:drawing>
          <wp:inline distT="0" distB="0" distL="0" distR="0">
            <wp:extent cx="36576" cy="12196"/>
            <wp:effectExtent l="0" t="0" r="0" b="0"/>
            <wp:docPr id="9444" name="Picture 9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" name="Picture 94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gravi ed accertate violazioni attinenti la retribuzione ed i versamenti contributivi di legge;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9445" name="Picture 9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" name="Picture 94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perdita dei requisiti previsti dalla legge ai tini della partecipazione alle procedure di gara;</w:t>
      </w:r>
    </w:p>
    <w:p w:rsidR="00E85D80" w:rsidRDefault="009B52B8">
      <w:pPr>
        <w:numPr>
          <w:ilvl w:val="0"/>
          <w:numId w:val="4"/>
        </w:numPr>
        <w:ind w:right="23" w:hanging="346"/>
      </w:pPr>
      <w:r>
        <w:t>mancata sostituzione dei lavoratori somministrati assenti dal servizio, entro i termini prescritti dal presente Capitolato;</w:t>
      </w:r>
    </w:p>
    <w:p w:rsidR="00E85D80" w:rsidRDefault="009B52B8">
      <w:pPr>
        <w:ind w:left="28" w:right="23"/>
      </w:pPr>
      <w:r>
        <w:t>In caso di risoluzione saranno comunque fatti salvi gli impegni assunti nei confronti dei lavoratori somministrati, fino alla scadenza naturale dei singoli contratti di lavoro.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12 Stipula del contratto.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1752" name="Picture 11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" name="Picture 117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D80" w:rsidRDefault="009B52B8">
      <w:pPr>
        <w:ind w:left="28" w:right="23"/>
      </w:pPr>
      <w:r>
        <w:t>La stipula del contratto per l'affidamento del servizio in oggetto avverrà secondo le regole di E-Procurement della PA. ai sensi degli artt. 52 e 53.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 xml:space="preserve">ARTICOLO 13 - Foro </w:t>
      </w:r>
      <w:r w:rsidR="00585F57">
        <w:rPr>
          <w:sz w:val="24"/>
          <w:u w:val="single" w:color="000000"/>
        </w:rPr>
        <w:t>competente</w:t>
      </w:r>
      <w:r>
        <w:rPr>
          <w:sz w:val="24"/>
          <w:u w:val="single" w:color="000000"/>
        </w:rPr>
        <w:t>.</w:t>
      </w:r>
    </w:p>
    <w:p w:rsidR="00E85D80" w:rsidRDefault="009B52B8">
      <w:pPr>
        <w:ind w:left="28" w:right="23"/>
      </w:pPr>
      <w:r>
        <w:t>Competente in via esclusiva a dirimere ogni controversia che dovesse sorgere dall'applicazione delle clausole del presente capitolato sarà il Foro di Vibo Valentia.</w:t>
      </w:r>
    </w:p>
    <w:p w:rsidR="00E85D80" w:rsidRDefault="009B52B8">
      <w:pPr>
        <w:spacing w:after="96" w:line="259" w:lineRule="auto"/>
        <w:ind w:left="24" w:right="0" w:hanging="10"/>
        <w:jc w:val="left"/>
      </w:pPr>
      <w:r>
        <w:rPr>
          <w:sz w:val="24"/>
          <w:u w:val="single" w:color="000000"/>
        </w:rPr>
        <w:t>ARTICOLO 14 - Trattamento dei dati.</w:t>
      </w:r>
    </w:p>
    <w:p w:rsidR="00E85D80" w:rsidRDefault="009B52B8">
      <w:pPr>
        <w:ind w:left="28" w:right="23"/>
      </w:pPr>
      <w:r>
        <w:t xml:space="preserve">Ai sensi </w:t>
      </w:r>
      <w:r w:rsidR="00046044">
        <w:t>delle attuali</w:t>
      </w:r>
      <w:r>
        <w:t xml:space="preserve"> normative in materia il Fornitore è responsabile del trattamento dei dati di cui venga in possesso nello svolgimento del servizio.</w:t>
      </w:r>
    </w:p>
    <w:p w:rsidR="00E85D80" w:rsidRDefault="009B52B8">
      <w:pPr>
        <w:ind w:left="28" w:right="23"/>
      </w:pPr>
      <w:r>
        <w:t>La ditta con la presentazione dell'offerta consente il trattamento dei propri dati, anche personali, ai sensi delle vigenti disposizioni di legge per le esigenze concorsuali.</w:t>
      </w:r>
    </w:p>
    <w:p w:rsidR="00E85D80" w:rsidRDefault="009B52B8">
      <w:pPr>
        <w:spacing w:after="0" w:line="259" w:lineRule="auto"/>
        <w:ind w:left="24" w:right="0" w:hanging="10"/>
        <w:jc w:val="left"/>
      </w:pPr>
      <w:r>
        <w:rPr>
          <w:sz w:val="24"/>
          <w:u w:val="single" w:color="000000"/>
        </w:rPr>
        <w:t xml:space="preserve">ARTICOLO 15 - </w:t>
      </w:r>
      <w:r w:rsidR="00585F57">
        <w:rPr>
          <w:sz w:val="24"/>
          <w:u w:val="single" w:color="000000"/>
        </w:rPr>
        <w:t>Rinvii</w:t>
      </w:r>
      <w:r>
        <w:rPr>
          <w:sz w:val="24"/>
          <w:u w:val="single" w:color="000000"/>
        </w:rPr>
        <w:t>.</w:t>
      </w:r>
    </w:p>
    <w:p w:rsidR="00E85D80" w:rsidRDefault="009B52B8">
      <w:pPr>
        <w:spacing w:after="502"/>
        <w:ind w:left="28" w:right="23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3323268</wp:posOffset>
            </wp:positionV>
            <wp:extent cx="6096" cy="6098"/>
            <wp:effectExtent l="0" t="0" r="0" b="0"/>
            <wp:wrapSquare wrapText="bothSides"/>
            <wp:docPr id="11753" name="Picture 11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" name="Picture 1175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 quanto non espressamente previsto si rinvia al </w:t>
      </w:r>
      <w:r w:rsidR="00585F57">
        <w:t>D. Lgs</w:t>
      </w:r>
      <w:r>
        <w:t xml:space="preserve"> </w:t>
      </w:r>
      <w:r w:rsidR="00046044">
        <w:t>n.36/2023</w:t>
      </w:r>
      <w:r>
        <w:t xml:space="preserve"> e smi in tema di contratti pubblici relativi a lavori, forniture e servizi, al Codice Civile e a tutta la restante normativa emanata dalla Stato e dalla Regione Calabria in materia di contabilità, contratti, rapporti di lavoro, previdenza e assicurazioni.</w:t>
      </w:r>
    </w:p>
    <w:p w:rsidR="00E85D80" w:rsidRDefault="009B52B8">
      <w:pPr>
        <w:pStyle w:val="Titolo1"/>
        <w:spacing w:after="133"/>
        <w:ind w:right="34"/>
      </w:pPr>
      <w:r>
        <w:t>RESPONSABILE DEL PROCEDIMENTO</w:t>
      </w:r>
    </w:p>
    <w:p w:rsidR="00E85D80" w:rsidRDefault="009B52B8">
      <w:pPr>
        <w:spacing w:after="512"/>
        <w:ind w:left="28" w:right="23"/>
      </w:pPr>
      <w:r>
        <w:t xml:space="preserve">Ai sensi e per gli effetti dell'art. </w:t>
      </w:r>
      <w:r w:rsidR="00046044">
        <w:t>15</w:t>
      </w:r>
      <w:r>
        <w:t xml:space="preserve"> del D.lgs </w:t>
      </w:r>
      <w:r w:rsidR="00046044">
        <w:t>36/2023</w:t>
      </w:r>
      <w:r>
        <w:t xml:space="preserve">, il </w:t>
      </w:r>
      <w:r w:rsidR="00046044" w:rsidRPr="00046044">
        <w:t>Responsabile unico del progetto</w:t>
      </w:r>
      <w:r w:rsidR="00046044">
        <w:t xml:space="preserve"> </w:t>
      </w:r>
      <w:r>
        <w:t xml:space="preserve">è </w:t>
      </w:r>
      <w:r w:rsidR="00046044">
        <w:t>il Dott. Andrea Petta</w:t>
      </w:r>
      <w:r>
        <w:t xml:space="preserve">, </w:t>
      </w:r>
      <w:r w:rsidR="00046044">
        <w:t xml:space="preserve">Dirigente </w:t>
      </w:r>
      <w:r w:rsidR="00747896">
        <w:t>Amministrativo dell’U.O.</w:t>
      </w:r>
      <w:r>
        <w:t xml:space="preserve"> Provveditorato Economato e Gestione Logistica.</w:t>
      </w:r>
    </w:p>
    <w:p w:rsidR="00747896" w:rsidRDefault="009B52B8" w:rsidP="00747896">
      <w:pPr>
        <w:spacing w:after="0" w:line="411" w:lineRule="auto"/>
        <w:ind w:left="383" w:right="23" w:hanging="360"/>
      </w:pPr>
      <w:r>
        <w:t>COSTITUISCONO PARTI INTEGRANTI DEL PRESENTE CAPITOLATO 1 SEGUENTI</w:t>
      </w:r>
      <w:r w:rsidR="00747896">
        <w:t xml:space="preserve"> DOCUMENTI</w:t>
      </w:r>
      <w:r>
        <w:t xml:space="preserve"> </w:t>
      </w:r>
    </w:p>
    <w:p w:rsidR="00E85D80" w:rsidRDefault="009B52B8" w:rsidP="00747896">
      <w:pPr>
        <w:pStyle w:val="Paragrafoelenco"/>
        <w:numPr>
          <w:ilvl w:val="0"/>
          <w:numId w:val="6"/>
        </w:numPr>
        <w:spacing w:after="0" w:line="411" w:lineRule="auto"/>
        <w:ind w:right="23"/>
      </w:pPr>
      <w:r>
        <w:rPr>
          <w:noProof/>
        </w:rPr>
        <w:drawing>
          <wp:inline distT="0" distB="0" distL="0" distR="0">
            <wp:extent cx="36576" cy="9146"/>
            <wp:effectExtent l="0" t="0" r="0" b="0"/>
            <wp:docPr id="11754" name="Picture 11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" name="Picture 117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Condizioni generali di contratto relative alle prestazioni di servizi</w:t>
      </w:r>
      <w:r w:rsidR="00585F57">
        <w:t xml:space="preserve"> </w:t>
      </w:r>
      <w:r>
        <w:t>-</w:t>
      </w:r>
      <w:r w:rsidR="00585F57">
        <w:t xml:space="preserve"> </w:t>
      </w:r>
      <w:r>
        <w:t>Bando Mepa</w:t>
      </w:r>
      <w:r w:rsidR="00585F57">
        <w:t xml:space="preserve"> </w:t>
      </w:r>
      <w:r>
        <w:t>- Servizi;</w:t>
      </w:r>
    </w:p>
    <w:p w:rsidR="009C355B" w:rsidRDefault="009B52B8" w:rsidP="00747896">
      <w:pPr>
        <w:pStyle w:val="Paragrafoelenco"/>
        <w:numPr>
          <w:ilvl w:val="0"/>
          <w:numId w:val="6"/>
        </w:numPr>
        <w:spacing w:after="0" w:line="411" w:lineRule="auto"/>
        <w:ind w:right="23"/>
      </w:pPr>
      <w:r>
        <w:t xml:space="preserve">Capitolato d'oneri per l'abilitazione dei prestatori di servizi al Mepa di cui all'art. </w:t>
      </w:r>
      <w:r w:rsidR="00EC477F">
        <w:t>50</w:t>
      </w:r>
      <w:r>
        <w:t xml:space="preserve"> </w:t>
      </w:r>
      <w:r w:rsidR="00585F57">
        <w:t>D. Lgs</w:t>
      </w:r>
      <w:r>
        <w:t xml:space="preserve">. </w:t>
      </w:r>
      <w:r w:rsidR="00EC477F">
        <w:t>36/2023</w:t>
      </w:r>
      <w:r>
        <w:t xml:space="preserve"> smi </w:t>
      </w:r>
    </w:p>
    <w:p w:rsidR="00E85D80" w:rsidRDefault="009B52B8" w:rsidP="009C355B">
      <w:pPr>
        <w:pStyle w:val="Paragrafoelenco"/>
        <w:numPr>
          <w:ilvl w:val="0"/>
          <w:numId w:val="6"/>
        </w:numPr>
        <w:spacing w:after="0" w:line="411" w:lineRule="auto"/>
        <w:ind w:right="23"/>
      </w:pPr>
      <w:r>
        <w:t>Allegato 36 al Capitolato d</w:t>
      </w:r>
      <w:r w:rsidRPr="009C355B">
        <w:rPr>
          <w:vertAlign w:val="superscript"/>
        </w:rPr>
        <w:t>t</w:t>
      </w:r>
      <w:r>
        <w:t>oneri servizi " Servizi di ricerca, selezione e somministrazione del personale" punto 6.1 — Classificazione Consip Pubblica Versione 1.0 Gennaio 2022.</w:t>
      </w:r>
    </w:p>
    <w:p w:rsidR="00E85D80" w:rsidRDefault="009B52B8">
      <w:pPr>
        <w:spacing w:after="116" w:line="259" w:lineRule="auto"/>
        <w:ind w:left="24" w:right="0" w:hanging="10"/>
        <w:rPr>
          <w:sz w:val="24"/>
        </w:rPr>
      </w:pPr>
      <w:r>
        <w:rPr>
          <w:sz w:val="24"/>
        </w:rPr>
        <w:t xml:space="preserve">Il presente documento dovrà essere sottoscritto digitalmente per accettazione dalla ditta concorrente, pena </w:t>
      </w:r>
      <w:r w:rsidR="00EC477F">
        <w:rPr>
          <w:sz w:val="24"/>
        </w:rPr>
        <w:t>l’esclusione</w:t>
      </w:r>
      <w:r>
        <w:rPr>
          <w:sz w:val="24"/>
        </w:rPr>
        <w:t>.</w:t>
      </w:r>
    </w:p>
    <w:p w:rsidR="008D1C68" w:rsidRDefault="008D1C68">
      <w:pPr>
        <w:spacing w:after="116" w:line="259" w:lineRule="auto"/>
        <w:ind w:left="24" w:right="0" w:hanging="10"/>
      </w:pPr>
    </w:p>
    <w:p w:rsidR="00E85D80" w:rsidRDefault="00E85D80"/>
    <w:p w:rsidR="00E85D80" w:rsidRDefault="009C355B">
      <w:pPr>
        <w:pStyle w:val="Titolo2"/>
      </w:pPr>
      <w:r>
        <w:t>C</w:t>
      </w:r>
      <w:r w:rsidR="009B52B8">
        <w:t>lausola Sociale</w:t>
      </w:r>
    </w:p>
    <w:p w:rsidR="00E85D80" w:rsidRDefault="009B52B8">
      <w:pPr>
        <w:spacing w:after="0" w:line="236" w:lineRule="auto"/>
        <w:ind w:left="0" w:right="0" w:firstLine="0"/>
      </w:pPr>
      <w:r>
        <w:rPr>
          <w:rFonts w:ascii="Calibri" w:eastAsia="Calibri" w:hAnsi="Calibri" w:cs="Calibri"/>
          <w:sz w:val="14"/>
        </w:rPr>
        <w:t>Nel rispetto dell'</w:t>
      </w:r>
      <w:r w:rsidR="00585F57">
        <w:rPr>
          <w:rFonts w:ascii="Calibri" w:eastAsia="Calibri" w:hAnsi="Calibri" w:cs="Calibri"/>
          <w:sz w:val="14"/>
        </w:rPr>
        <w:t xml:space="preserve">art. </w:t>
      </w:r>
      <w:r>
        <w:rPr>
          <w:rFonts w:ascii="Calibri" w:eastAsia="Calibri" w:hAnsi="Calibri" w:cs="Calibri"/>
          <w:sz w:val="14"/>
        </w:rPr>
        <w:t>31 CCNL Agenzie per il lavoro (27 febbraio 2014), alla presente procedura si applica 1a clausola sociale per cui in caso di cessazione di appalti pubblici nei qua]i ] 'ente appaltante proceda ad una nuova aggiudicazione ad Agenzia anche diversa dalla precedente, l' Agenzia aggiudicataria è tenuta a garantire il mantenimento in organico di tutti i lavoratori già utilizzati in precedenza, compatibilmente con i numeri richiesti dal bando e per tu</w:t>
      </w:r>
      <w:r w:rsidR="00585F57">
        <w:rPr>
          <w:rFonts w:ascii="Calibri" w:eastAsia="Calibri" w:hAnsi="Calibri" w:cs="Calibri"/>
          <w:sz w:val="14"/>
        </w:rPr>
        <w:t>tta l</w:t>
      </w:r>
      <w:r>
        <w:rPr>
          <w:rFonts w:ascii="Calibri" w:eastAsia="Calibri" w:hAnsi="Calibri" w:cs="Calibri"/>
          <w:sz w:val="14"/>
        </w:rPr>
        <w:t xml:space="preserve">a la durata dello stesso. Pertanto l'aggiudicatario, salvo cause ostative per legge o per volontà dei lavoratori interessati, privilegerà l'avviamento al lavoro di </w:t>
      </w:r>
      <w:r w:rsidR="00585F57">
        <w:rPr>
          <w:rFonts w:ascii="Calibri" w:eastAsia="Calibri" w:hAnsi="Calibri" w:cs="Calibri"/>
          <w:sz w:val="14"/>
        </w:rPr>
        <w:t>personale</w:t>
      </w:r>
      <w:r>
        <w:rPr>
          <w:rFonts w:ascii="Calibri" w:eastAsia="Calibri" w:hAnsi="Calibri" w:cs="Calibri"/>
          <w:sz w:val="14"/>
        </w:rPr>
        <w:t xml:space="preserve"> </w:t>
      </w:r>
      <w:r w:rsidR="00585F57">
        <w:rPr>
          <w:rFonts w:ascii="Calibri" w:eastAsia="Calibri" w:hAnsi="Calibri" w:cs="Calibri"/>
          <w:sz w:val="14"/>
        </w:rPr>
        <w:t>che</w:t>
      </w:r>
      <w:r>
        <w:rPr>
          <w:rFonts w:ascii="Calibri" w:eastAsia="Calibri" w:hAnsi="Calibri" w:cs="Calibri"/>
          <w:sz w:val="14"/>
        </w:rPr>
        <w:t xml:space="preserve"> abbia già prestato servizio presso l'Azienda Sanitaria di Vibo Valentia al fine di garantire la continuità delle competenze e le conoscenze già specificamente acquisite,</w:t>
      </w:r>
    </w:p>
    <w:sectPr w:rsidR="00E85D80">
      <w:footerReference w:type="even" r:id="rId24"/>
      <w:footerReference w:type="default" r:id="rId25"/>
      <w:footerReference w:type="first" r:id="rId26"/>
      <w:pgSz w:w="11904" w:h="16834"/>
      <w:pgMar w:top="1062" w:right="1234" w:bottom="1440" w:left="11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17" w:rsidRDefault="003A1C17">
      <w:pPr>
        <w:spacing w:after="0" w:line="240" w:lineRule="auto"/>
      </w:pPr>
      <w:r>
        <w:separator/>
      </w:r>
    </w:p>
  </w:endnote>
  <w:endnote w:type="continuationSeparator" w:id="0">
    <w:p w:rsidR="003A1C17" w:rsidRDefault="003A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80" w:rsidRDefault="00E85D8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80" w:rsidRDefault="00E85D8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80" w:rsidRDefault="00E85D8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17" w:rsidRDefault="003A1C17">
      <w:pPr>
        <w:spacing w:after="0" w:line="240" w:lineRule="auto"/>
      </w:pPr>
      <w:r>
        <w:separator/>
      </w:r>
    </w:p>
  </w:footnote>
  <w:footnote w:type="continuationSeparator" w:id="0">
    <w:p w:rsidR="003A1C17" w:rsidRDefault="003A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1" style="width:1.5pt;height:.75pt" coordsize="" o:spt="100" o:bullet="t" adj="0,,0" path="" stroked="f">
        <v:stroke joinstyle="miter"/>
        <v:imagedata r:id="rId1" o:title="image51"/>
        <v:formulas/>
        <v:path o:connecttype="segments"/>
      </v:shape>
    </w:pict>
  </w:numPicBullet>
  <w:numPicBullet w:numPicBulletId="1">
    <w:pict>
      <v:shape id="_x0000_i1042" style="width:1.5pt;height:.75pt" coordsize="" o:spt="100" o:bullet="t" adj="0,,0" path="" stroked="f">
        <v:stroke joinstyle="miter"/>
        <v:imagedata r:id="rId2" o:title="image52"/>
        <v:formulas/>
        <v:path o:connecttype="segments"/>
      </v:shape>
    </w:pict>
  </w:numPicBullet>
  <w:numPicBullet w:numPicBulletId="2">
    <w:pict>
      <v:shape id="_x0000_i1043" style="width:.75pt;height:.75pt" coordsize="" o:spt="100" o:bullet="t" adj="0,,0" path="" stroked="f">
        <v:stroke joinstyle="miter"/>
        <v:imagedata r:id="rId3" o:title="image53"/>
        <v:formulas/>
        <v:path o:connecttype="segments"/>
      </v:shape>
    </w:pict>
  </w:numPicBullet>
  <w:numPicBullet w:numPicBulletId="3">
    <w:pict>
      <v:shape id="_x0000_i1044" style="width:.75pt;height:.75pt" coordsize="" o:spt="100" o:bullet="t" adj="0,,0" path="" stroked="f">
        <v:stroke joinstyle="miter"/>
        <v:imagedata r:id="rId4" o:title="image54"/>
        <v:formulas/>
        <v:path o:connecttype="segments"/>
      </v:shape>
    </w:pict>
  </w:numPicBullet>
  <w:numPicBullet w:numPicBulletId="4">
    <w:pict>
      <v:shape id="_x0000_i1045" style="width:.75pt;height:.75pt" coordsize="" o:spt="100" o:bullet="t" adj="0,,0" path="" stroked="f">
        <v:stroke joinstyle="miter"/>
        <v:imagedata r:id="rId5" o:title="image55"/>
        <v:formulas/>
        <v:path o:connecttype="segments"/>
      </v:shape>
    </w:pict>
  </w:numPicBullet>
  <w:abstractNum w:abstractNumId="0" w15:restartNumberingAfterBreak="0">
    <w:nsid w:val="089E41EB"/>
    <w:multiLevelType w:val="hybridMultilevel"/>
    <w:tmpl w:val="46E671A6"/>
    <w:lvl w:ilvl="0" w:tplc="84F8851C">
      <w:start w:val="1"/>
      <w:numFmt w:val="bullet"/>
      <w:lvlText w:val="•"/>
      <w:lvlPicBulletId w:val="4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CFE5E">
      <w:start w:val="1"/>
      <w:numFmt w:val="bullet"/>
      <w:lvlText w:val="o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8B806">
      <w:start w:val="1"/>
      <w:numFmt w:val="bullet"/>
      <w:lvlText w:val="▪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E9480">
      <w:start w:val="1"/>
      <w:numFmt w:val="bullet"/>
      <w:lvlText w:val="•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01DB8">
      <w:start w:val="1"/>
      <w:numFmt w:val="bullet"/>
      <w:lvlText w:val="o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8ADF6">
      <w:start w:val="1"/>
      <w:numFmt w:val="bullet"/>
      <w:lvlText w:val="▪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84CC8">
      <w:start w:val="1"/>
      <w:numFmt w:val="bullet"/>
      <w:lvlText w:val="•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4A262">
      <w:start w:val="1"/>
      <w:numFmt w:val="bullet"/>
      <w:lvlText w:val="o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AA42A">
      <w:start w:val="1"/>
      <w:numFmt w:val="bullet"/>
      <w:lvlText w:val="▪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C64D2"/>
    <w:multiLevelType w:val="hybridMultilevel"/>
    <w:tmpl w:val="4E7E984A"/>
    <w:lvl w:ilvl="0" w:tplc="C82233BA">
      <w:start w:val="1"/>
      <w:numFmt w:val="bullet"/>
      <w:lvlText w:val="•"/>
      <w:lvlPicBulletId w:val="3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85C4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4F898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CD186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EF74C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9C566A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4E4EE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43788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2C57E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31663A"/>
    <w:multiLevelType w:val="hybridMultilevel"/>
    <w:tmpl w:val="1CE61D0A"/>
    <w:lvl w:ilvl="0" w:tplc="02F2610A"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 w15:restartNumberingAfterBreak="0">
    <w:nsid w:val="55393ED4"/>
    <w:multiLevelType w:val="hybridMultilevel"/>
    <w:tmpl w:val="3006B6C6"/>
    <w:lvl w:ilvl="0" w:tplc="6620364A">
      <w:start w:val="1"/>
      <w:numFmt w:val="bullet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0D67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4ABC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AB33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C5EA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841D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8CA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A21F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AA727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312C5"/>
    <w:multiLevelType w:val="hybridMultilevel"/>
    <w:tmpl w:val="758AB430"/>
    <w:lvl w:ilvl="0" w:tplc="32CE65C4">
      <w:start w:val="1"/>
      <w:numFmt w:val="bullet"/>
      <w:lvlText w:val="•"/>
      <w:lvlPicBulletId w:val="1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4B47E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6519E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0F5B2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4DCD8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4B90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AABB6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1F8E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6CBE0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C375C"/>
    <w:multiLevelType w:val="hybridMultilevel"/>
    <w:tmpl w:val="2C7275C6"/>
    <w:lvl w:ilvl="0" w:tplc="B16CF402">
      <w:start w:val="1"/>
      <w:numFmt w:val="bullet"/>
      <w:lvlText w:val="•"/>
      <w:lvlPicBulletId w:val="2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9A4DB6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0CBD0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059FA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62860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C8402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C98EC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03DDE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6407C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80"/>
    <w:rsid w:val="00046044"/>
    <w:rsid w:val="00082E51"/>
    <w:rsid w:val="00167B36"/>
    <w:rsid w:val="00326132"/>
    <w:rsid w:val="003A1C17"/>
    <w:rsid w:val="004E7B9F"/>
    <w:rsid w:val="00520AC8"/>
    <w:rsid w:val="00585F57"/>
    <w:rsid w:val="005F43FA"/>
    <w:rsid w:val="00611491"/>
    <w:rsid w:val="00747896"/>
    <w:rsid w:val="008457DC"/>
    <w:rsid w:val="008D1BAE"/>
    <w:rsid w:val="008D1C68"/>
    <w:rsid w:val="009B52B8"/>
    <w:rsid w:val="009C355B"/>
    <w:rsid w:val="00AD3225"/>
    <w:rsid w:val="00BE6B41"/>
    <w:rsid w:val="00C1179B"/>
    <w:rsid w:val="00CC2B18"/>
    <w:rsid w:val="00D9460E"/>
    <w:rsid w:val="00DD66B7"/>
    <w:rsid w:val="00DF7CD0"/>
    <w:rsid w:val="00E85D80"/>
    <w:rsid w:val="00E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4D0B5-1BCC-4598-AAFA-730020E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0" w:line="291" w:lineRule="auto"/>
      <w:ind w:left="5" w:right="77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2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4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image" Target="media/image12.jpg"/><Relationship Id="rId18" Type="http://schemas.openxmlformats.org/officeDocument/2006/relationships/image" Target="media/image17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20.jpg"/><Relationship Id="rId7" Type="http://schemas.openxmlformats.org/officeDocument/2006/relationships/image" Target="media/image6.jpg"/><Relationship Id="rId12" Type="http://schemas.openxmlformats.org/officeDocument/2006/relationships/image" Target="media/image11.jpg"/><Relationship Id="rId17" Type="http://schemas.openxmlformats.org/officeDocument/2006/relationships/image" Target="media/image16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5.jpg"/><Relationship Id="rId20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4.jpg"/><Relationship Id="rId23" Type="http://schemas.openxmlformats.org/officeDocument/2006/relationships/image" Target="media/image22.jpg"/><Relationship Id="rId28" Type="http://schemas.openxmlformats.org/officeDocument/2006/relationships/theme" Target="theme/theme1.xml"/><Relationship Id="rId10" Type="http://schemas.openxmlformats.org/officeDocument/2006/relationships/image" Target="media/image9.jpg"/><Relationship Id="rId19" Type="http://schemas.openxmlformats.org/officeDocument/2006/relationships/image" Target="media/image18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image" Target="media/image13.jpg"/><Relationship Id="rId22" Type="http://schemas.openxmlformats.org/officeDocument/2006/relationships/image" Target="media/image21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ida.gallo</dc:creator>
  <cp:keywords/>
  <cp:lastModifiedBy>ida.gallo</cp:lastModifiedBy>
  <cp:revision>2</cp:revision>
  <dcterms:created xsi:type="dcterms:W3CDTF">2023-10-13T10:44:00Z</dcterms:created>
  <dcterms:modified xsi:type="dcterms:W3CDTF">2023-10-13T10:44:00Z</dcterms:modified>
</cp:coreProperties>
</file>